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EF" w:rsidRDefault="00392CA6" w:rsidP="004B54EF">
      <w:pPr>
        <w:spacing w:after="0" w:line="240" w:lineRule="auto"/>
        <w:jc w:val="center"/>
        <w:outlineLvl w:val="0"/>
        <w:rPr>
          <w:rFonts w:eastAsia="Times New Roman" w:cs="Times New Roman"/>
          <w:b/>
          <w:bCs/>
          <w:kern w:val="36"/>
          <w:sz w:val="32"/>
          <w:szCs w:val="32"/>
          <w:lang w:val="en"/>
        </w:rPr>
      </w:pPr>
      <w:r>
        <w:rPr>
          <w:noProof/>
        </w:rPr>
        <w:drawing>
          <wp:anchor distT="0" distB="0" distL="114300" distR="114300" simplePos="0" relativeHeight="251660288" behindDoc="0" locked="0" layoutInCell="1" allowOverlap="1" wp14:anchorId="7F16C7DA" wp14:editId="27FDF0DB">
            <wp:simplePos x="0" y="0"/>
            <wp:positionH relativeFrom="column">
              <wp:posOffset>4876800</wp:posOffset>
            </wp:positionH>
            <wp:positionV relativeFrom="paragraph">
              <wp:posOffset>-86360</wp:posOffset>
            </wp:positionV>
            <wp:extent cx="1159510" cy="1381125"/>
            <wp:effectExtent l="0" t="0" r="2540" b="9525"/>
            <wp:wrapSquare wrapText="bothSides"/>
            <wp:docPr id="5" name="Picture 5" descr="US-F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W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9510" cy="138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0AB070C" wp14:editId="1C3A2E81">
            <wp:simplePos x="0" y="0"/>
            <wp:positionH relativeFrom="column">
              <wp:posOffset>-438785</wp:posOffset>
            </wp:positionH>
            <wp:positionV relativeFrom="paragraph">
              <wp:posOffset>27940</wp:posOffset>
            </wp:positionV>
            <wp:extent cx="1876425" cy="1297305"/>
            <wp:effectExtent l="0" t="0" r="9525" b="0"/>
            <wp:wrapSquare wrapText="bothSides"/>
            <wp:docPr id="4" name="Picture 4"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297305"/>
                    </a:xfrm>
                    <a:prstGeom prst="rect">
                      <a:avLst/>
                    </a:prstGeom>
                    <a:noFill/>
                  </pic:spPr>
                </pic:pic>
              </a:graphicData>
            </a:graphic>
            <wp14:sizeRelH relativeFrom="page">
              <wp14:pctWidth>0</wp14:pctWidth>
            </wp14:sizeRelH>
            <wp14:sizeRelV relativeFrom="page">
              <wp14:pctHeight>0</wp14:pctHeight>
            </wp14:sizeRelV>
          </wp:anchor>
        </w:drawing>
      </w:r>
    </w:p>
    <w:p w:rsidR="004B54EF" w:rsidRDefault="004B54EF" w:rsidP="004B54EF">
      <w:pPr>
        <w:spacing w:after="0" w:line="240" w:lineRule="auto"/>
        <w:jc w:val="center"/>
        <w:outlineLvl w:val="0"/>
        <w:rPr>
          <w:rFonts w:eastAsia="Times New Roman" w:cs="Times New Roman"/>
          <w:b/>
          <w:bCs/>
          <w:kern w:val="36"/>
          <w:sz w:val="32"/>
          <w:szCs w:val="32"/>
          <w:lang w:val="en"/>
        </w:rPr>
      </w:pPr>
    </w:p>
    <w:p w:rsidR="00392CA6" w:rsidRDefault="00392CA6" w:rsidP="004B54EF">
      <w:pPr>
        <w:spacing w:after="0" w:line="240" w:lineRule="auto"/>
        <w:jc w:val="center"/>
        <w:outlineLvl w:val="0"/>
        <w:rPr>
          <w:rFonts w:ascii="Arial" w:eastAsia="Times New Roman" w:hAnsi="Arial" w:cs="Arial"/>
          <w:b/>
          <w:bCs/>
          <w:kern w:val="36"/>
          <w:sz w:val="28"/>
          <w:szCs w:val="32"/>
          <w:lang w:val="en"/>
        </w:rPr>
      </w:pPr>
    </w:p>
    <w:p w:rsidR="004B54EF" w:rsidRDefault="004B54EF" w:rsidP="004B54EF">
      <w:pPr>
        <w:spacing w:after="0" w:line="240" w:lineRule="auto"/>
        <w:jc w:val="center"/>
        <w:outlineLvl w:val="0"/>
        <w:rPr>
          <w:rFonts w:ascii="Arial" w:eastAsia="Times New Roman" w:hAnsi="Arial" w:cs="Arial"/>
          <w:b/>
          <w:bCs/>
          <w:kern w:val="36"/>
          <w:sz w:val="32"/>
          <w:szCs w:val="32"/>
          <w:lang w:val="en"/>
        </w:rPr>
      </w:pPr>
      <w:r>
        <w:rPr>
          <w:rFonts w:ascii="Arial" w:eastAsia="Times New Roman" w:hAnsi="Arial" w:cs="Arial"/>
          <w:b/>
          <w:bCs/>
          <w:kern w:val="36"/>
          <w:sz w:val="28"/>
          <w:szCs w:val="32"/>
          <w:lang w:val="en"/>
        </w:rPr>
        <w:t>Connecticut River Watershed Landscape Conservation Design Pilot</w:t>
      </w:r>
    </w:p>
    <w:p w:rsidR="004B54EF" w:rsidRDefault="004B54EF">
      <w:pPr>
        <w:rPr>
          <w:sz w:val="26"/>
          <w:szCs w:val="26"/>
        </w:rPr>
      </w:pPr>
    </w:p>
    <w:p w:rsidR="002D6E58" w:rsidRPr="002D6E58" w:rsidRDefault="002D6E58">
      <w:pPr>
        <w:rPr>
          <w:sz w:val="26"/>
          <w:szCs w:val="26"/>
        </w:rPr>
      </w:pPr>
    </w:p>
    <w:tbl>
      <w:tblPr>
        <w:tblStyle w:val="TableGrid"/>
        <w:tblW w:w="9648" w:type="dxa"/>
        <w:tblLook w:val="04A0" w:firstRow="1" w:lastRow="0" w:firstColumn="1" w:lastColumn="0" w:noHBand="0" w:noVBand="1"/>
      </w:tblPr>
      <w:tblGrid>
        <w:gridCol w:w="1818"/>
        <w:gridCol w:w="7830"/>
      </w:tblGrid>
      <w:tr w:rsidR="00D314F8" w:rsidRPr="002D6E58" w:rsidTr="001343EC">
        <w:tc>
          <w:tcPr>
            <w:tcW w:w="1818" w:type="dxa"/>
          </w:tcPr>
          <w:p w:rsidR="00D314F8" w:rsidRPr="002D6E58" w:rsidRDefault="00D314F8">
            <w:pPr>
              <w:rPr>
                <w:sz w:val="26"/>
                <w:szCs w:val="26"/>
              </w:rPr>
            </w:pPr>
            <w:r w:rsidRPr="002D6E58">
              <w:rPr>
                <w:sz w:val="26"/>
                <w:szCs w:val="26"/>
              </w:rPr>
              <w:t>Project Name</w:t>
            </w:r>
          </w:p>
        </w:tc>
        <w:tc>
          <w:tcPr>
            <w:tcW w:w="7830" w:type="dxa"/>
          </w:tcPr>
          <w:p w:rsidR="0049220D" w:rsidRPr="00896D04" w:rsidRDefault="00543FE7">
            <w:pPr>
              <w:rPr>
                <w:b/>
                <w:i/>
                <w:sz w:val="28"/>
                <w:szCs w:val="28"/>
              </w:rPr>
            </w:pPr>
            <w:r w:rsidRPr="00896D04">
              <w:rPr>
                <w:b/>
                <w:i/>
                <w:sz w:val="28"/>
                <w:szCs w:val="28"/>
              </w:rPr>
              <w:t>Habitat suitability modeling of select Regional Species of Greatest Conservation Need (RSGCN)</w:t>
            </w:r>
          </w:p>
        </w:tc>
      </w:tr>
      <w:tr w:rsidR="000C4872" w:rsidRPr="002D6E58" w:rsidTr="001343EC">
        <w:tc>
          <w:tcPr>
            <w:tcW w:w="1818" w:type="dxa"/>
          </w:tcPr>
          <w:p w:rsidR="000C4872" w:rsidRPr="002D6E58" w:rsidRDefault="000C4872">
            <w:pPr>
              <w:rPr>
                <w:sz w:val="26"/>
                <w:szCs w:val="26"/>
              </w:rPr>
            </w:pPr>
            <w:r w:rsidRPr="002D6E58">
              <w:rPr>
                <w:sz w:val="26"/>
                <w:szCs w:val="26"/>
              </w:rPr>
              <w:t>Product Type</w:t>
            </w:r>
          </w:p>
        </w:tc>
        <w:tc>
          <w:tcPr>
            <w:tcW w:w="7830" w:type="dxa"/>
          </w:tcPr>
          <w:p w:rsidR="0049220D" w:rsidRPr="002D6E58" w:rsidRDefault="00543FE7" w:rsidP="00543FE7">
            <w:pPr>
              <w:rPr>
                <w:sz w:val="26"/>
                <w:szCs w:val="26"/>
              </w:rPr>
            </w:pPr>
            <w:r>
              <w:rPr>
                <w:sz w:val="26"/>
                <w:szCs w:val="26"/>
              </w:rPr>
              <w:t>Model output raster comprised of a continuous gradient of habitat suitability</w:t>
            </w:r>
            <w:r w:rsidR="00C34C98">
              <w:rPr>
                <w:sz w:val="26"/>
                <w:szCs w:val="26"/>
              </w:rPr>
              <w:t xml:space="preserve">.  </w:t>
            </w:r>
            <w:r>
              <w:rPr>
                <w:sz w:val="26"/>
                <w:szCs w:val="26"/>
              </w:rPr>
              <w:t>Supporting documentation primarily consisting of metadata that describes the modeling methods, input environmental parameters, and possible uses and limitations of the model.</w:t>
            </w:r>
          </w:p>
        </w:tc>
      </w:tr>
      <w:tr w:rsidR="00D314F8" w:rsidRPr="002D6E58" w:rsidTr="001343EC">
        <w:tc>
          <w:tcPr>
            <w:tcW w:w="1818" w:type="dxa"/>
          </w:tcPr>
          <w:p w:rsidR="00D314F8" w:rsidRPr="002D6E58" w:rsidRDefault="000C4872">
            <w:pPr>
              <w:rPr>
                <w:sz w:val="26"/>
                <w:szCs w:val="26"/>
              </w:rPr>
            </w:pPr>
            <w:r w:rsidRPr="002D6E58">
              <w:rPr>
                <w:sz w:val="26"/>
                <w:szCs w:val="26"/>
              </w:rPr>
              <w:t xml:space="preserve">Product </w:t>
            </w:r>
            <w:r w:rsidR="00D314F8" w:rsidRPr="002D6E58">
              <w:rPr>
                <w:sz w:val="26"/>
                <w:szCs w:val="26"/>
              </w:rPr>
              <w:t>Description</w:t>
            </w:r>
          </w:p>
        </w:tc>
        <w:tc>
          <w:tcPr>
            <w:tcW w:w="7830" w:type="dxa"/>
          </w:tcPr>
          <w:p w:rsidR="0049220D" w:rsidRPr="002D6E58" w:rsidRDefault="00543FE7" w:rsidP="00603206">
            <w:pPr>
              <w:rPr>
                <w:sz w:val="26"/>
                <w:szCs w:val="26"/>
              </w:rPr>
            </w:pPr>
            <w:r>
              <w:rPr>
                <w:sz w:val="26"/>
                <w:szCs w:val="26"/>
              </w:rPr>
              <w:t xml:space="preserve">A subset of RSGCN will be modeled to identify areas of potential habitat suitability within the northeast region (USFWS region 5).  Species will be selected based on </w:t>
            </w:r>
            <w:r w:rsidR="00603206">
              <w:rPr>
                <w:sz w:val="26"/>
                <w:szCs w:val="26"/>
              </w:rPr>
              <w:t xml:space="preserve">the </w:t>
            </w:r>
            <w:r>
              <w:rPr>
                <w:sz w:val="26"/>
                <w:szCs w:val="26"/>
              </w:rPr>
              <w:t>quality of population point occurrence data for the species’ known rang</w:t>
            </w:r>
            <w:r w:rsidR="00603206">
              <w:rPr>
                <w:sz w:val="26"/>
                <w:szCs w:val="26"/>
              </w:rPr>
              <w:t>e within the northeast, level of regional concern and responsibility in the context of the overall species range, and other relevant factors.  Species models will be developed in close consultation with teams</w:t>
            </w:r>
            <w:r>
              <w:rPr>
                <w:sz w:val="26"/>
                <w:szCs w:val="26"/>
              </w:rPr>
              <w:t xml:space="preserve"> </w:t>
            </w:r>
            <w:r w:rsidR="00603206">
              <w:rPr>
                <w:sz w:val="26"/>
                <w:szCs w:val="26"/>
              </w:rPr>
              <w:t xml:space="preserve">of species biologists organized by taxonomic specialty, using one or more presence-only or empirically-based modeling methods.  </w:t>
            </w:r>
          </w:p>
        </w:tc>
      </w:tr>
      <w:tr w:rsidR="00D314F8" w:rsidRPr="002D6E58" w:rsidTr="001343EC">
        <w:tc>
          <w:tcPr>
            <w:tcW w:w="1818" w:type="dxa"/>
          </w:tcPr>
          <w:p w:rsidR="00D314F8" w:rsidRPr="002D6E58" w:rsidRDefault="00CE49FC" w:rsidP="00CE49FC">
            <w:pPr>
              <w:rPr>
                <w:sz w:val="26"/>
                <w:szCs w:val="26"/>
              </w:rPr>
            </w:pPr>
            <w:r w:rsidRPr="002D6E58">
              <w:rPr>
                <w:sz w:val="26"/>
                <w:szCs w:val="26"/>
              </w:rPr>
              <w:t>Geographic Extent and  data scale</w:t>
            </w:r>
          </w:p>
        </w:tc>
        <w:tc>
          <w:tcPr>
            <w:tcW w:w="7830" w:type="dxa"/>
          </w:tcPr>
          <w:p w:rsidR="0066532C" w:rsidRPr="002D6E58" w:rsidRDefault="0066532C" w:rsidP="008944B0">
            <w:pPr>
              <w:rPr>
                <w:sz w:val="26"/>
                <w:szCs w:val="26"/>
              </w:rPr>
            </w:pPr>
            <w:r w:rsidRPr="00C34C98">
              <w:rPr>
                <w:sz w:val="26"/>
                <w:szCs w:val="26"/>
              </w:rPr>
              <w:t xml:space="preserve">13-state </w:t>
            </w:r>
            <w:r w:rsidR="00603206">
              <w:rPr>
                <w:sz w:val="26"/>
                <w:szCs w:val="26"/>
              </w:rPr>
              <w:t>northeast</w:t>
            </w:r>
            <w:r w:rsidRPr="00C34C98">
              <w:rPr>
                <w:sz w:val="26"/>
                <w:szCs w:val="26"/>
              </w:rPr>
              <w:t xml:space="preserve"> region</w:t>
            </w:r>
            <w:r w:rsidR="00603206">
              <w:rPr>
                <w:sz w:val="26"/>
                <w:szCs w:val="26"/>
              </w:rPr>
              <w:t xml:space="preserve">.  Habitat suitability models could potentially extend into Canada </w:t>
            </w:r>
            <w:r w:rsidR="00EC79AB">
              <w:rPr>
                <w:sz w:val="26"/>
                <w:szCs w:val="26"/>
              </w:rPr>
              <w:t xml:space="preserve">on a </w:t>
            </w:r>
            <w:r w:rsidR="00603206">
              <w:rPr>
                <w:sz w:val="26"/>
                <w:szCs w:val="26"/>
              </w:rPr>
              <w:t>by-species basis pending the availability of coverage of the selected environmental variables within the Canada portion of the LCC)</w:t>
            </w:r>
          </w:p>
        </w:tc>
      </w:tr>
      <w:tr w:rsidR="00D314F8" w:rsidRPr="002D6E58" w:rsidTr="001343EC">
        <w:tc>
          <w:tcPr>
            <w:tcW w:w="1818" w:type="dxa"/>
          </w:tcPr>
          <w:p w:rsidR="00D314F8" w:rsidRPr="002D6E58" w:rsidRDefault="00D314F8">
            <w:pPr>
              <w:rPr>
                <w:sz w:val="26"/>
                <w:szCs w:val="26"/>
              </w:rPr>
            </w:pPr>
            <w:r w:rsidRPr="002D6E58">
              <w:rPr>
                <w:sz w:val="26"/>
                <w:szCs w:val="26"/>
              </w:rPr>
              <w:t>Developer</w:t>
            </w:r>
          </w:p>
        </w:tc>
        <w:tc>
          <w:tcPr>
            <w:tcW w:w="7830" w:type="dxa"/>
          </w:tcPr>
          <w:p w:rsidR="0049220D" w:rsidRPr="002D6E58" w:rsidRDefault="008F655B" w:rsidP="00D45278">
            <w:pPr>
              <w:rPr>
                <w:sz w:val="26"/>
                <w:szCs w:val="26"/>
              </w:rPr>
            </w:pPr>
            <w:r>
              <w:rPr>
                <w:sz w:val="26"/>
                <w:szCs w:val="26"/>
              </w:rPr>
              <w:t>North Atlantic Landscape Conservation Cooperative</w:t>
            </w:r>
          </w:p>
        </w:tc>
      </w:tr>
      <w:tr w:rsidR="00D314F8" w:rsidRPr="002D6E58" w:rsidTr="001343EC">
        <w:tc>
          <w:tcPr>
            <w:tcW w:w="1818" w:type="dxa"/>
          </w:tcPr>
          <w:p w:rsidR="00D314F8" w:rsidRPr="002D6E58" w:rsidRDefault="00D314F8">
            <w:pPr>
              <w:rPr>
                <w:sz w:val="26"/>
                <w:szCs w:val="26"/>
              </w:rPr>
            </w:pPr>
            <w:r w:rsidRPr="002D6E58">
              <w:rPr>
                <w:sz w:val="26"/>
                <w:szCs w:val="26"/>
              </w:rPr>
              <w:t>Contact</w:t>
            </w:r>
          </w:p>
        </w:tc>
        <w:tc>
          <w:tcPr>
            <w:tcW w:w="7830" w:type="dxa"/>
          </w:tcPr>
          <w:p w:rsidR="0049220D" w:rsidRPr="002D6E58" w:rsidRDefault="008F655B" w:rsidP="008F655B">
            <w:pPr>
              <w:rPr>
                <w:sz w:val="26"/>
                <w:szCs w:val="26"/>
              </w:rPr>
            </w:pPr>
            <w:r>
              <w:rPr>
                <w:sz w:val="26"/>
                <w:szCs w:val="26"/>
              </w:rPr>
              <w:t xml:space="preserve">Lori </w:t>
            </w:r>
            <w:proofErr w:type="spellStart"/>
            <w:r>
              <w:rPr>
                <w:sz w:val="26"/>
                <w:szCs w:val="26"/>
              </w:rPr>
              <w:t>Pelech</w:t>
            </w:r>
            <w:proofErr w:type="spellEnd"/>
            <w:r>
              <w:rPr>
                <w:sz w:val="26"/>
                <w:szCs w:val="26"/>
              </w:rPr>
              <w:t xml:space="preserve"> and Steve Fuller</w:t>
            </w:r>
            <w:r w:rsidR="0066532C">
              <w:rPr>
                <w:sz w:val="26"/>
                <w:szCs w:val="26"/>
              </w:rPr>
              <w:t xml:space="preserve"> </w:t>
            </w:r>
          </w:p>
        </w:tc>
      </w:tr>
      <w:tr w:rsidR="00D314F8" w:rsidRPr="002D6E58" w:rsidTr="001343EC">
        <w:tc>
          <w:tcPr>
            <w:tcW w:w="1818" w:type="dxa"/>
          </w:tcPr>
          <w:p w:rsidR="00D314F8" w:rsidRPr="002D6E58" w:rsidRDefault="00D314F8" w:rsidP="001343EC">
            <w:pPr>
              <w:rPr>
                <w:sz w:val="26"/>
                <w:szCs w:val="26"/>
              </w:rPr>
            </w:pPr>
            <w:r w:rsidRPr="002D6E58">
              <w:rPr>
                <w:sz w:val="26"/>
                <w:szCs w:val="26"/>
              </w:rPr>
              <w:t xml:space="preserve">Completion </w:t>
            </w:r>
          </w:p>
        </w:tc>
        <w:tc>
          <w:tcPr>
            <w:tcW w:w="7830" w:type="dxa"/>
          </w:tcPr>
          <w:p w:rsidR="00D314F8" w:rsidRPr="002D6E58" w:rsidRDefault="008F655B">
            <w:pPr>
              <w:rPr>
                <w:sz w:val="26"/>
                <w:szCs w:val="26"/>
              </w:rPr>
            </w:pPr>
            <w:r>
              <w:rPr>
                <w:sz w:val="26"/>
                <w:szCs w:val="26"/>
              </w:rPr>
              <w:t>Before the end of 2014</w:t>
            </w:r>
          </w:p>
        </w:tc>
      </w:tr>
    </w:tbl>
    <w:p w:rsidR="00E54D6F" w:rsidRDefault="00E54D6F">
      <w:pPr>
        <w:rPr>
          <w:noProof/>
          <w:sz w:val="26"/>
          <w:szCs w:val="26"/>
        </w:rPr>
      </w:pPr>
    </w:p>
    <w:p w:rsidR="00E54D6F" w:rsidRDefault="00E54D6F">
      <w:pPr>
        <w:rPr>
          <w:noProof/>
          <w:sz w:val="26"/>
          <w:szCs w:val="26"/>
        </w:rPr>
      </w:pPr>
      <w:bookmarkStart w:id="0" w:name="_GoBack"/>
      <w:bookmarkEnd w:id="0"/>
    </w:p>
    <w:p w:rsidR="009D7031" w:rsidRDefault="008C2FD3" w:rsidP="00421FC3">
      <w:pPr>
        <w:spacing w:after="0"/>
        <w:rPr>
          <w:sz w:val="26"/>
          <w:szCs w:val="26"/>
        </w:rPr>
      </w:pPr>
      <w:r w:rsidRPr="008C2FD3">
        <w:rPr>
          <w:noProof/>
          <w:sz w:val="26"/>
          <w:szCs w:val="26"/>
        </w:rPr>
        <w:lastRenderedPageBreak/>
        <mc:AlternateContent>
          <mc:Choice Requires="wps">
            <w:drawing>
              <wp:anchor distT="0" distB="0" distL="114300" distR="114300" simplePos="0" relativeHeight="251662336" behindDoc="0" locked="0" layoutInCell="1" allowOverlap="1" wp14:editId="36B11C9B">
                <wp:simplePos x="0" y="0"/>
                <wp:positionH relativeFrom="column">
                  <wp:posOffset>314325</wp:posOffset>
                </wp:positionH>
                <wp:positionV relativeFrom="paragraph">
                  <wp:posOffset>299085</wp:posOffset>
                </wp:positionV>
                <wp:extent cx="3657600" cy="1304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04925"/>
                        </a:xfrm>
                        <a:prstGeom prst="rect">
                          <a:avLst/>
                        </a:prstGeom>
                        <a:solidFill>
                          <a:srgbClr val="FFFFFF"/>
                        </a:solidFill>
                        <a:ln w="9525">
                          <a:solidFill>
                            <a:srgbClr val="000000"/>
                          </a:solidFill>
                          <a:miter lim="800000"/>
                          <a:headEnd/>
                          <a:tailEnd/>
                        </a:ln>
                      </wps:spPr>
                      <wps:txbx>
                        <w:txbxContent>
                          <w:p w:rsidR="008C2FD3" w:rsidRPr="008C2FD3" w:rsidRDefault="008C2FD3">
                            <w:pPr>
                              <w:rPr>
                                <w:b/>
                                <w:sz w:val="48"/>
                                <w:szCs w:val="48"/>
                              </w:rPr>
                            </w:pPr>
                            <w:r w:rsidRPr="008C2FD3">
                              <w:rPr>
                                <w:b/>
                                <w:sz w:val="48"/>
                                <w:szCs w:val="48"/>
                              </w:rPr>
                              <w:t>Example Illustration of a Habitat Suitability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23.55pt;width:4in;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">
                <v:textbox>
                  <w:txbxContent>
                    <w:p w:rsidR="008C2FD3" w:rsidRPr="008C2FD3" w:rsidRDefault="008C2FD3">
                      <w:pPr>
                        <w:rPr>
                          <w:b/>
                          <w:sz w:val="48"/>
                          <w:szCs w:val="48"/>
                        </w:rPr>
                      </w:pPr>
                      <w:r w:rsidRPr="008C2FD3">
                        <w:rPr>
                          <w:b/>
                          <w:sz w:val="48"/>
                          <w:szCs w:val="48"/>
                        </w:rPr>
                        <w:t>Example Illustration of a Habitat Suitability Model</w:t>
                      </w:r>
                    </w:p>
                  </w:txbxContent>
                </v:textbox>
              </v:shape>
            </w:pict>
          </mc:Fallback>
        </mc:AlternateContent>
      </w:r>
      <w:r w:rsidR="003C4A61">
        <w:rPr>
          <w:noProof/>
          <w:sz w:val="26"/>
          <w:szCs w:val="26"/>
        </w:rPr>
        <w:drawing>
          <wp:inline distT="0" distB="0" distL="0" distR="0" wp14:anchorId="252BBCF4" wp14:editId="19FCAE77">
            <wp:extent cx="5943600" cy="699034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6990347"/>
                    </a:xfrm>
                    <a:prstGeom prst="rect">
                      <a:avLst/>
                    </a:prstGeom>
                    <a:noFill/>
                    <a:ln>
                      <a:noFill/>
                    </a:ln>
                  </pic:spPr>
                </pic:pic>
              </a:graphicData>
            </a:graphic>
          </wp:inline>
        </w:drawing>
      </w:r>
    </w:p>
    <w:p w:rsidR="00817909" w:rsidRPr="007B5BF7" w:rsidRDefault="00817909" w:rsidP="00421FC3">
      <w:pPr>
        <w:spacing w:after="0"/>
        <w:rPr>
          <w:sz w:val="26"/>
          <w:szCs w:val="26"/>
        </w:rPr>
      </w:pPr>
      <w:r>
        <w:rPr>
          <w:sz w:val="26"/>
          <w:szCs w:val="26"/>
        </w:rPr>
        <w:t xml:space="preserve"> </w:t>
      </w:r>
    </w:p>
    <w:sectPr w:rsidR="00817909" w:rsidRPr="007B5BF7" w:rsidSect="00421FC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007"/>
    <w:multiLevelType w:val="multilevel"/>
    <w:tmpl w:val="0D1E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DE0011"/>
    <w:multiLevelType w:val="hybridMultilevel"/>
    <w:tmpl w:val="719E39D0"/>
    <w:lvl w:ilvl="0" w:tplc="EC1A265E">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2787B"/>
    <w:multiLevelType w:val="multilevel"/>
    <w:tmpl w:val="A4BC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F53A70"/>
    <w:multiLevelType w:val="multilevel"/>
    <w:tmpl w:val="31BA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31"/>
    <w:rsid w:val="0001022A"/>
    <w:rsid w:val="000C4872"/>
    <w:rsid w:val="000C6637"/>
    <w:rsid w:val="000F11C6"/>
    <w:rsid w:val="001343EC"/>
    <w:rsid w:val="001A5869"/>
    <w:rsid w:val="002568B9"/>
    <w:rsid w:val="002C0469"/>
    <w:rsid w:val="002D6E58"/>
    <w:rsid w:val="002E445A"/>
    <w:rsid w:val="00311013"/>
    <w:rsid w:val="0036104E"/>
    <w:rsid w:val="00392CA6"/>
    <w:rsid w:val="003C4A61"/>
    <w:rsid w:val="00421FC3"/>
    <w:rsid w:val="0049220D"/>
    <w:rsid w:val="004A5255"/>
    <w:rsid w:val="004B54EF"/>
    <w:rsid w:val="004F152F"/>
    <w:rsid w:val="00543FE7"/>
    <w:rsid w:val="00565123"/>
    <w:rsid w:val="005F22FF"/>
    <w:rsid w:val="00603206"/>
    <w:rsid w:val="00652162"/>
    <w:rsid w:val="0066532C"/>
    <w:rsid w:val="006B5437"/>
    <w:rsid w:val="0073182D"/>
    <w:rsid w:val="00756225"/>
    <w:rsid w:val="00771E9F"/>
    <w:rsid w:val="00782AF9"/>
    <w:rsid w:val="007B5BF7"/>
    <w:rsid w:val="007D5B3F"/>
    <w:rsid w:val="00817909"/>
    <w:rsid w:val="00845940"/>
    <w:rsid w:val="008722A9"/>
    <w:rsid w:val="008944B0"/>
    <w:rsid w:val="00896D04"/>
    <w:rsid w:val="008C2FD3"/>
    <w:rsid w:val="008F655B"/>
    <w:rsid w:val="009A2015"/>
    <w:rsid w:val="009D7031"/>
    <w:rsid w:val="00A5551A"/>
    <w:rsid w:val="00C30691"/>
    <w:rsid w:val="00C34C98"/>
    <w:rsid w:val="00C71936"/>
    <w:rsid w:val="00C80ED4"/>
    <w:rsid w:val="00CD4161"/>
    <w:rsid w:val="00CE49FC"/>
    <w:rsid w:val="00D1399D"/>
    <w:rsid w:val="00D314F8"/>
    <w:rsid w:val="00D45278"/>
    <w:rsid w:val="00E15193"/>
    <w:rsid w:val="00E2167B"/>
    <w:rsid w:val="00E45D5C"/>
    <w:rsid w:val="00E54D6F"/>
    <w:rsid w:val="00EB208E"/>
    <w:rsid w:val="00EC79AB"/>
    <w:rsid w:val="00ED0143"/>
    <w:rsid w:val="00F0659A"/>
    <w:rsid w:val="00F32070"/>
    <w:rsid w:val="00F36DF9"/>
    <w:rsid w:val="00F50240"/>
    <w:rsid w:val="00F6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031"/>
    <w:rPr>
      <w:color w:val="0000FF"/>
      <w:u w:val="single"/>
    </w:rPr>
  </w:style>
  <w:style w:type="table" w:styleId="TableGrid">
    <w:name w:val="Table Grid"/>
    <w:basedOn w:val="TableNormal"/>
    <w:uiPriority w:val="59"/>
    <w:rsid w:val="009D7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69"/>
    <w:rPr>
      <w:rFonts w:ascii="Tahoma" w:hAnsi="Tahoma" w:cs="Tahoma"/>
      <w:sz w:val="16"/>
      <w:szCs w:val="16"/>
    </w:rPr>
  </w:style>
  <w:style w:type="paragraph" w:styleId="ListParagraph">
    <w:name w:val="List Paragraph"/>
    <w:basedOn w:val="Normal"/>
    <w:uiPriority w:val="34"/>
    <w:qFormat/>
    <w:rsid w:val="007B5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031"/>
    <w:rPr>
      <w:color w:val="0000FF"/>
      <w:u w:val="single"/>
    </w:rPr>
  </w:style>
  <w:style w:type="table" w:styleId="TableGrid">
    <w:name w:val="Table Grid"/>
    <w:basedOn w:val="TableNormal"/>
    <w:uiPriority w:val="59"/>
    <w:rsid w:val="009D7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69"/>
    <w:rPr>
      <w:rFonts w:ascii="Tahoma" w:hAnsi="Tahoma" w:cs="Tahoma"/>
      <w:sz w:val="16"/>
      <w:szCs w:val="16"/>
    </w:rPr>
  </w:style>
  <w:style w:type="paragraph" w:styleId="ListParagraph">
    <w:name w:val="List Paragraph"/>
    <w:basedOn w:val="Normal"/>
    <w:uiPriority w:val="34"/>
    <w:qFormat/>
    <w:rsid w:val="007B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66519">
      <w:bodyDiv w:val="1"/>
      <w:marLeft w:val="0"/>
      <w:marRight w:val="0"/>
      <w:marTop w:val="0"/>
      <w:marBottom w:val="0"/>
      <w:divBdr>
        <w:top w:val="none" w:sz="0" w:space="0" w:color="auto"/>
        <w:left w:val="none" w:sz="0" w:space="0" w:color="auto"/>
        <w:bottom w:val="none" w:sz="0" w:space="0" w:color="auto"/>
        <w:right w:val="none" w:sz="0" w:space="0" w:color="auto"/>
      </w:divBdr>
      <w:divsChild>
        <w:div w:id="436409540">
          <w:marLeft w:val="0"/>
          <w:marRight w:val="0"/>
          <w:marTop w:val="0"/>
          <w:marBottom w:val="0"/>
          <w:divBdr>
            <w:top w:val="none" w:sz="0" w:space="0" w:color="auto"/>
            <w:left w:val="none" w:sz="0" w:space="0" w:color="auto"/>
            <w:bottom w:val="none" w:sz="0" w:space="0" w:color="auto"/>
            <w:right w:val="none" w:sz="0" w:space="0" w:color="auto"/>
          </w:divBdr>
          <w:divsChild>
            <w:div w:id="1633291142">
              <w:marLeft w:val="0"/>
              <w:marRight w:val="0"/>
              <w:marTop w:val="0"/>
              <w:marBottom w:val="0"/>
              <w:divBdr>
                <w:top w:val="none" w:sz="0" w:space="0" w:color="auto"/>
                <w:left w:val="none" w:sz="0" w:space="0" w:color="auto"/>
                <w:bottom w:val="none" w:sz="0" w:space="0" w:color="auto"/>
                <w:right w:val="none" w:sz="0" w:space="0" w:color="auto"/>
              </w:divBdr>
              <w:divsChild>
                <w:div w:id="1422988168">
                  <w:marLeft w:val="0"/>
                  <w:marRight w:val="0"/>
                  <w:marTop w:val="0"/>
                  <w:marBottom w:val="0"/>
                  <w:divBdr>
                    <w:top w:val="none" w:sz="0" w:space="0" w:color="auto"/>
                    <w:left w:val="none" w:sz="0" w:space="0" w:color="auto"/>
                    <w:bottom w:val="none" w:sz="0" w:space="0" w:color="auto"/>
                    <w:right w:val="none" w:sz="0" w:space="0" w:color="auto"/>
                  </w:divBdr>
                  <w:divsChild>
                    <w:div w:id="1484469390">
                      <w:marLeft w:val="0"/>
                      <w:marRight w:val="0"/>
                      <w:marTop w:val="0"/>
                      <w:marBottom w:val="0"/>
                      <w:divBdr>
                        <w:top w:val="none" w:sz="0" w:space="0" w:color="auto"/>
                        <w:left w:val="none" w:sz="0" w:space="0" w:color="auto"/>
                        <w:bottom w:val="none" w:sz="0" w:space="0" w:color="auto"/>
                        <w:right w:val="none" w:sz="0" w:space="0" w:color="auto"/>
                      </w:divBdr>
                      <w:divsChild>
                        <w:div w:id="1904754955">
                          <w:marLeft w:val="0"/>
                          <w:marRight w:val="0"/>
                          <w:marTop w:val="0"/>
                          <w:marBottom w:val="0"/>
                          <w:divBdr>
                            <w:top w:val="none" w:sz="0" w:space="0" w:color="auto"/>
                            <w:left w:val="none" w:sz="0" w:space="0" w:color="auto"/>
                            <w:bottom w:val="none" w:sz="0" w:space="0" w:color="auto"/>
                            <w:right w:val="none" w:sz="0" w:space="0" w:color="auto"/>
                          </w:divBdr>
                          <w:divsChild>
                            <w:div w:id="865025291">
                              <w:marLeft w:val="0"/>
                              <w:marRight w:val="0"/>
                              <w:marTop w:val="0"/>
                              <w:marBottom w:val="0"/>
                              <w:divBdr>
                                <w:top w:val="none" w:sz="0" w:space="0" w:color="auto"/>
                                <w:left w:val="none" w:sz="0" w:space="0" w:color="auto"/>
                                <w:bottom w:val="none" w:sz="0" w:space="0" w:color="auto"/>
                                <w:right w:val="none" w:sz="0" w:space="0" w:color="auto"/>
                              </w:divBdr>
                              <w:divsChild>
                                <w:div w:id="6025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8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Mac</dc:creator>
  <cp:lastModifiedBy>Milliken, Andrew</cp:lastModifiedBy>
  <cp:revision>2</cp:revision>
  <cp:lastPrinted>2014-03-28T11:34:00Z</cp:lastPrinted>
  <dcterms:created xsi:type="dcterms:W3CDTF">2014-03-28T11:36:00Z</dcterms:created>
  <dcterms:modified xsi:type="dcterms:W3CDTF">2014-03-28T11:36:00Z</dcterms:modified>
</cp:coreProperties>
</file>