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4EF" w:rsidRDefault="00392CA6" w:rsidP="004B54EF">
      <w:pPr>
        <w:spacing w:after="0" w:line="240" w:lineRule="auto"/>
        <w:jc w:val="center"/>
        <w:outlineLvl w:val="0"/>
        <w:rPr>
          <w:rFonts w:eastAsia="Times New Roman" w:cs="Times New Roman"/>
          <w:b/>
          <w:bCs/>
          <w:kern w:val="36"/>
          <w:sz w:val="32"/>
          <w:szCs w:val="32"/>
          <w:lang w:val="en"/>
        </w:rPr>
      </w:pPr>
      <w:r>
        <w:rPr>
          <w:noProof/>
        </w:rPr>
        <w:drawing>
          <wp:anchor distT="0" distB="0" distL="114300" distR="114300" simplePos="0" relativeHeight="251660288" behindDoc="0" locked="0" layoutInCell="1" allowOverlap="1" wp14:anchorId="7F16C7DA" wp14:editId="27FDF0DB">
            <wp:simplePos x="0" y="0"/>
            <wp:positionH relativeFrom="column">
              <wp:posOffset>4876800</wp:posOffset>
            </wp:positionH>
            <wp:positionV relativeFrom="paragraph">
              <wp:posOffset>-86360</wp:posOffset>
            </wp:positionV>
            <wp:extent cx="1159510" cy="1381125"/>
            <wp:effectExtent l="0" t="0" r="2540" b="9525"/>
            <wp:wrapSquare wrapText="bothSides"/>
            <wp:docPr id="5" name="Picture 5" descr="US-FW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FWS-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9510" cy="13811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0AB070C" wp14:editId="1C3A2E81">
            <wp:simplePos x="0" y="0"/>
            <wp:positionH relativeFrom="column">
              <wp:posOffset>-438785</wp:posOffset>
            </wp:positionH>
            <wp:positionV relativeFrom="paragraph">
              <wp:posOffset>27940</wp:posOffset>
            </wp:positionV>
            <wp:extent cx="1876425" cy="1297305"/>
            <wp:effectExtent l="0" t="0" r="9525" b="0"/>
            <wp:wrapSquare wrapText="bothSides"/>
            <wp:docPr id="4" name="Picture 4"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425" cy="1297305"/>
                    </a:xfrm>
                    <a:prstGeom prst="rect">
                      <a:avLst/>
                    </a:prstGeom>
                    <a:noFill/>
                  </pic:spPr>
                </pic:pic>
              </a:graphicData>
            </a:graphic>
            <wp14:sizeRelH relativeFrom="page">
              <wp14:pctWidth>0</wp14:pctWidth>
            </wp14:sizeRelH>
            <wp14:sizeRelV relativeFrom="page">
              <wp14:pctHeight>0</wp14:pctHeight>
            </wp14:sizeRelV>
          </wp:anchor>
        </w:drawing>
      </w:r>
    </w:p>
    <w:p w:rsidR="004B54EF" w:rsidRDefault="004B54EF" w:rsidP="004B54EF">
      <w:pPr>
        <w:spacing w:after="0" w:line="240" w:lineRule="auto"/>
        <w:jc w:val="center"/>
        <w:outlineLvl w:val="0"/>
        <w:rPr>
          <w:rFonts w:eastAsia="Times New Roman" w:cs="Times New Roman"/>
          <w:b/>
          <w:bCs/>
          <w:kern w:val="36"/>
          <w:sz w:val="32"/>
          <w:szCs w:val="32"/>
          <w:lang w:val="en"/>
        </w:rPr>
      </w:pPr>
    </w:p>
    <w:p w:rsidR="00392CA6" w:rsidRDefault="00392CA6" w:rsidP="004B54EF">
      <w:pPr>
        <w:spacing w:after="0" w:line="240" w:lineRule="auto"/>
        <w:jc w:val="center"/>
        <w:outlineLvl w:val="0"/>
        <w:rPr>
          <w:rFonts w:ascii="Arial" w:eastAsia="Times New Roman" w:hAnsi="Arial" w:cs="Arial"/>
          <w:b/>
          <w:bCs/>
          <w:kern w:val="36"/>
          <w:sz w:val="28"/>
          <w:szCs w:val="32"/>
          <w:lang w:val="en"/>
        </w:rPr>
      </w:pPr>
    </w:p>
    <w:p w:rsidR="004B54EF" w:rsidRDefault="004B54EF" w:rsidP="004B54EF">
      <w:pPr>
        <w:spacing w:after="0" w:line="240" w:lineRule="auto"/>
        <w:jc w:val="center"/>
        <w:outlineLvl w:val="0"/>
        <w:rPr>
          <w:rFonts w:ascii="Arial" w:eastAsia="Times New Roman" w:hAnsi="Arial" w:cs="Arial"/>
          <w:b/>
          <w:bCs/>
          <w:kern w:val="36"/>
          <w:sz w:val="32"/>
          <w:szCs w:val="32"/>
          <w:lang w:val="en"/>
        </w:rPr>
      </w:pPr>
      <w:r>
        <w:rPr>
          <w:rFonts w:ascii="Arial" w:eastAsia="Times New Roman" w:hAnsi="Arial" w:cs="Arial"/>
          <w:b/>
          <w:bCs/>
          <w:kern w:val="36"/>
          <w:sz w:val="28"/>
          <w:szCs w:val="32"/>
          <w:lang w:val="en"/>
        </w:rPr>
        <w:t>Connecticut River Watershed Landscape Conservation Design Pilot</w:t>
      </w:r>
    </w:p>
    <w:p w:rsidR="004B54EF" w:rsidRDefault="004B54EF">
      <w:pPr>
        <w:rPr>
          <w:sz w:val="26"/>
          <w:szCs w:val="26"/>
        </w:rPr>
      </w:pPr>
    </w:p>
    <w:p w:rsidR="002D6E58" w:rsidRPr="002D6E58" w:rsidRDefault="002D6E58">
      <w:pPr>
        <w:rPr>
          <w:sz w:val="26"/>
          <w:szCs w:val="26"/>
        </w:rPr>
      </w:pPr>
    </w:p>
    <w:tbl>
      <w:tblPr>
        <w:tblStyle w:val="TableGrid"/>
        <w:tblW w:w="9648" w:type="dxa"/>
        <w:tblLook w:val="04A0" w:firstRow="1" w:lastRow="0" w:firstColumn="1" w:lastColumn="0" w:noHBand="0" w:noVBand="1"/>
      </w:tblPr>
      <w:tblGrid>
        <w:gridCol w:w="1818"/>
        <w:gridCol w:w="7830"/>
      </w:tblGrid>
      <w:tr w:rsidR="00D314F8" w:rsidRPr="002D6E58" w:rsidTr="001343EC">
        <w:tc>
          <w:tcPr>
            <w:tcW w:w="1818" w:type="dxa"/>
          </w:tcPr>
          <w:p w:rsidR="00D314F8" w:rsidRPr="00A61D1C" w:rsidRDefault="00D314F8">
            <w:pPr>
              <w:rPr>
                <w:sz w:val="26"/>
                <w:szCs w:val="26"/>
              </w:rPr>
            </w:pPr>
            <w:r w:rsidRPr="00A61D1C">
              <w:rPr>
                <w:sz w:val="26"/>
                <w:szCs w:val="26"/>
              </w:rPr>
              <w:t>Project Name</w:t>
            </w:r>
          </w:p>
        </w:tc>
        <w:tc>
          <w:tcPr>
            <w:tcW w:w="7830" w:type="dxa"/>
          </w:tcPr>
          <w:p w:rsidR="00D314F8" w:rsidRPr="00A61D1C" w:rsidRDefault="00C34C98">
            <w:pPr>
              <w:rPr>
                <w:b/>
                <w:i/>
                <w:sz w:val="26"/>
                <w:szCs w:val="26"/>
              </w:rPr>
            </w:pPr>
            <w:r w:rsidRPr="00A61D1C">
              <w:rPr>
                <w:b/>
                <w:i/>
                <w:sz w:val="26"/>
                <w:szCs w:val="26"/>
              </w:rPr>
              <w:t>Resilient Sites for Terrestrial Conservation in the Northeast and Mid-Atlantic Region</w:t>
            </w:r>
          </w:p>
        </w:tc>
      </w:tr>
      <w:tr w:rsidR="000C4872" w:rsidRPr="002D6E58" w:rsidTr="001343EC">
        <w:tc>
          <w:tcPr>
            <w:tcW w:w="1818" w:type="dxa"/>
          </w:tcPr>
          <w:p w:rsidR="000C4872" w:rsidRPr="00A61D1C" w:rsidRDefault="000C4872">
            <w:pPr>
              <w:rPr>
                <w:sz w:val="26"/>
                <w:szCs w:val="26"/>
              </w:rPr>
            </w:pPr>
            <w:r w:rsidRPr="00A61D1C">
              <w:rPr>
                <w:sz w:val="26"/>
                <w:szCs w:val="26"/>
              </w:rPr>
              <w:t>Product Type</w:t>
            </w:r>
          </w:p>
        </w:tc>
        <w:tc>
          <w:tcPr>
            <w:tcW w:w="7830" w:type="dxa"/>
          </w:tcPr>
          <w:p w:rsidR="000C4872" w:rsidRPr="00A61D1C" w:rsidRDefault="00C34C98" w:rsidP="006B5437">
            <w:pPr>
              <w:rPr>
                <w:sz w:val="26"/>
                <w:szCs w:val="26"/>
              </w:rPr>
            </w:pPr>
            <w:r w:rsidRPr="00A61D1C">
              <w:rPr>
                <w:sz w:val="26"/>
                <w:szCs w:val="26"/>
              </w:rPr>
              <w:t xml:space="preserve">GIS </w:t>
            </w:r>
            <w:r w:rsidR="00596631" w:rsidRPr="00A61D1C">
              <w:rPr>
                <w:sz w:val="26"/>
                <w:szCs w:val="26"/>
              </w:rPr>
              <w:t>settings data with attributes and ranked sites</w:t>
            </w:r>
            <w:r w:rsidRPr="00A61D1C">
              <w:rPr>
                <w:sz w:val="26"/>
                <w:szCs w:val="26"/>
              </w:rPr>
              <w:t>.  Extensive report explaining goals, process, limitations, and ranks.</w:t>
            </w:r>
          </w:p>
        </w:tc>
      </w:tr>
      <w:tr w:rsidR="00D314F8" w:rsidRPr="002D6E58" w:rsidTr="001343EC">
        <w:tc>
          <w:tcPr>
            <w:tcW w:w="1818" w:type="dxa"/>
          </w:tcPr>
          <w:p w:rsidR="00D314F8" w:rsidRPr="00A61D1C" w:rsidRDefault="000C4872">
            <w:pPr>
              <w:rPr>
                <w:sz w:val="26"/>
                <w:szCs w:val="26"/>
              </w:rPr>
            </w:pPr>
            <w:r w:rsidRPr="00A61D1C">
              <w:rPr>
                <w:sz w:val="26"/>
                <w:szCs w:val="26"/>
              </w:rPr>
              <w:t xml:space="preserve">Product </w:t>
            </w:r>
            <w:r w:rsidR="00D314F8" w:rsidRPr="00A61D1C">
              <w:rPr>
                <w:sz w:val="26"/>
                <w:szCs w:val="26"/>
              </w:rPr>
              <w:t>Description</w:t>
            </w:r>
          </w:p>
        </w:tc>
        <w:tc>
          <w:tcPr>
            <w:tcW w:w="7830" w:type="dxa"/>
          </w:tcPr>
          <w:p w:rsidR="00535324" w:rsidRPr="00A61D1C" w:rsidRDefault="00C34C98" w:rsidP="00535324">
            <w:pPr>
              <w:rPr>
                <w:sz w:val="26"/>
                <w:szCs w:val="26"/>
              </w:rPr>
            </w:pPr>
            <w:r w:rsidRPr="00A61D1C">
              <w:rPr>
                <w:sz w:val="26"/>
                <w:szCs w:val="26"/>
              </w:rPr>
              <w:t xml:space="preserve">For this set of products, resilience refers to the capacity of a site to adapt to climate change while still maintaining diversity, but does not assume that the species currently located at these sites will necessarily be the same species present in the future. </w:t>
            </w:r>
          </w:p>
          <w:p w:rsidR="00535324" w:rsidRPr="00A61D1C" w:rsidRDefault="00535324" w:rsidP="00535324">
            <w:pPr>
              <w:rPr>
                <w:sz w:val="26"/>
                <w:szCs w:val="26"/>
              </w:rPr>
            </w:pPr>
          </w:p>
          <w:p w:rsidR="00596631" w:rsidRPr="00A61D1C" w:rsidRDefault="00C34C98" w:rsidP="00596631">
            <w:pPr>
              <w:rPr>
                <w:sz w:val="26"/>
                <w:szCs w:val="26"/>
              </w:rPr>
            </w:pPr>
            <w:r w:rsidRPr="00A61D1C">
              <w:rPr>
                <w:sz w:val="26"/>
                <w:szCs w:val="26"/>
              </w:rPr>
              <w:t xml:space="preserve">There are three basic parts: </w:t>
            </w:r>
            <w:r w:rsidR="00535324" w:rsidRPr="00A61D1C">
              <w:rPr>
                <w:sz w:val="26"/>
                <w:szCs w:val="26"/>
              </w:rPr>
              <w:t xml:space="preserve">1) </w:t>
            </w:r>
            <w:r w:rsidRPr="00A61D1C">
              <w:rPr>
                <w:sz w:val="26"/>
                <w:szCs w:val="26"/>
              </w:rPr>
              <w:t>representation of geophysical settings</w:t>
            </w:r>
            <w:r w:rsidR="00596631" w:rsidRPr="00A61D1C">
              <w:rPr>
                <w:sz w:val="26"/>
                <w:szCs w:val="26"/>
              </w:rPr>
              <w:t xml:space="preserve"> (</w:t>
            </w:r>
            <w:r w:rsidR="00596631" w:rsidRPr="00A61D1C">
              <w:rPr>
                <w:sz w:val="26"/>
                <w:szCs w:val="26"/>
              </w:rPr>
              <w:t>characterized by information on geology, elevation, and landforms</w:t>
            </w:r>
            <w:r w:rsidR="00596631" w:rsidRPr="00A61D1C">
              <w:rPr>
                <w:sz w:val="26"/>
                <w:szCs w:val="26"/>
              </w:rPr>
              <w:t>)</w:t>
            </w:r>
            <w:r w:rsidRPr="00A61D1C">
              <w:rPr>
                <w:sz w:val="26"/>
                <w:szCs w:val="26"/>
              </w:rPr>
              <w:t xml:space="preserve"> </w:t>
            </w:r>
            <w:r w:rsidR="00535324" w:rsidRPr="00A61D1C">
              <w:rPr>
                <w:sz w:val="26"/>
                <w:szCs w:val="26"/>
              </w:rPr>
              <w:t>in a conservation network</w:t>
            </w:r>
            <w:r w:rsidR="00596631" w:rsidRPr="00A61D1C">
              <w:rPr>
                <w:sz w:val="26"/>
                <w:szCs w:val="26"/>
              </w:rPr>
              <w:t>;</w:t>
            </w:r>
            <w:r w:rsidR="00535324" w:rsidRPr="00A61D1C">
              <w:rPr>
                <w:sz w:val="26"/>
                <w:szCs w:val="26"/>
              </w:rPr>
              <w:t xml:space="preserve">  2)</w:t>
            </w:r>
            <w:r w:rsidRPr="00A61D1C">
              <w:rPr>
                <w:sz w:val="26"/>
                <w:szCs w:val="26"/>
              </w:rPr>
              <w:t xml:space="preserve"> </w:t>
            </w:r>
            <w:r w:rsidR="00596631" w:rsidRPr="00A61D1C">
              <w:rPr>
                <w:sz w:val="26"/>
                <w:szCs w:val="26"/>
              </w:rPr>
              <w:t xml:space="preserve">landscape complexity including landform variety, elevation range and wetland density; and 3) </w:t>
            </w:r>
            <w:r w:rsidR="00C24323">
              <w:rPr>
                <w:sz w:val="26"/>
                <w:szCs w:val="26"/>
              </w:rPr>
              <w:t>l</w:t>
            </w:r>
            <w:bookmarkStart w:id="0" w:name="_GoBack"/>
            <w:bookmarkEnd w:id="0"/>
            <w:r w:rsidR="00596631" w:rsidRPr="00A61D1C">
              <w:rPr>
                <w:sz w:val="26"/>
                <w:szCs w:val="26"/>
              </w:rPr>
              <w:t xml:space="preserve">andscape “permeability” including </w:t>
            </w:r>
            <w:r w:rsidRPr="00A61D1C">
              <w:rPr>
                <w:sz w:val="26"/>
                <w:szCs w:val="26"/>
              </w:rPr>
              <w:t>local connectedness and regional</w:t>
            </w:r>
            <w:r w:rsidR="0066532C" w:rsidRPr="00A61D1C">
              <w:rPr>
                <w:sz w:val="26"/>
                <w:szCs w:val="26"/>
              </w:rPr>
              <w:t xml:space="preserve"> flow pattern</w:t>
            </w:r>
            <w:r w:rsidR="00596631" w:rsidRPr="00A61D1C">
              <w:rPr>
                <w:sz w:val="26"/>
                <w:szCs w:val="26"/>
              </w:rPr>
              <w:t>s</w:t>
            </w:r>
            <w:r w:rsidR="0066532C" w:rsidRPr="00A61D1C">
              <w:rPr>
                <w:sz w:val="26"/>
                <w:szCs w:val="26"/>
              </w:rPr>
              <w:t xml:space="preserve">. </w:t>
            </w:r>
          </w:p>
          <w:p w:rsidR="00596631" w:rsidRPr="00A61D1C" w:rsidRDefault="00596631" w:rsidP="00596631">
            <w:pPr>
              <w:rPr>
                <w:sz w:val="26"/>
                <w:szCs w:val="26"/>
              </w:rPr>
            </w:pPr>
          </w:p>
          <w:p w:rsidR="00F0659A" w:rsidRPr="00A61D1C" w:rsidRDefault="0066532C" w:rsidP="00596631">
            <w:pPr>
              <w:rPr>
                <w:sz w:val="26"/>
                <w:szCs w:val="26"/>
              </w:rPr>
            </w:pPr>
            <w:r w:rsidRPr="00A61D1C">
              <w:rPr>
                <w:sz w:val="26"/>
                <w:szCs w:val="26"/>
              </w:rPr>
              <w:t>M</w:t>
            </w:r>
            <w:r w:rsidR="00C34C98" w:rsidRPr="00A61D1C">
              <w:rPr>
                <w:sz w:val="26"/>
                <w:szCs w:val="26"/>
              </w:rPr>
              <w:t>etric</w:t>
            </w:r>
            <w:r w:rsidRPr="00A61D1C">
              <w:rPr>
                <w:sz w:val="26"/>
                <w:szCs w:val="26"/>
              </w:rPr>
              <w:t>s</w:t>
            </w:r>
            <w:r w:rsidR="00C34C98" w:rsidRPr="00A61D1C">
              <w:rPr>
                <w:sz w:val="26"/>
                <w:szCs w:val="26"/>
              </w:rPr>
              <w:t xml:space="preserve"> </w:t>
            </w:r>
            <w:r w:rsidRPr="00A61D1C">
              <w:rPr>
                <w:sz w:val="26"/>
                <w:szCs w:val="26"/>
              </w:rPr>
              <w:t>are</w:t>
            </w:r>
            <w:r w:rsidR="00C34C98" w:rsidRPr="00A61D1C">
              <w:rPr>
                <w:sz w:val="26"/>
                <w:szCs w:val="26"/>
              </w:rPr>
              <w:t xml:space="preserve"> calculated for a 13-state U.S. region and the Maritime Provinces of Canada</w:t>
            </w:r>
            <w:r w:rsidR="00596631" w:rsidRPr="00A61D1C">
              <w:rPr>
                <w:sz w:val="26"/>
                <w:szCs w:val="26"/>
              </w:rPr>
              <w:t xml:space="preserve"> and results show </w:t>
            </w:r>
            <w:r w:rsidR="00C34C98" w:rsidRPr="00A61D1C">
              <w:rPr>
                <w:sz w:val="26"/>
                <w:szCs w:val="26"/>
              </w:rPr>
              <w:t xml:space="preserve">sites with the highest estimated resilience within each ecological region. </w:t>
            </w:r>
          </w:p>
        </w:tc>
      </w:tr>
      <w:tr w:rsidR="00D314F8" w:rsidRPr="002D6E58" w:rsidTr="001343EC">
        <w:tc>
          <w:tcPr>
            <w:tcW w:w="1818" w:type="dxa"/>
          </w:tcPr>
          <w:p w:rsidR="00D314F8" w:rsidRPr="00A61D1C" w:rsidRDefault="00CE49FC" w:rsidP="00CE49FC">
            <w:pPr>
              <w:rPr>
                <w:sz w:val="26"/>
                <w:szCs w:val="26"/>
              </w:rPr>
            </w:pPr>
            <w:r w:rsidRPr="00A61D1C">
              <w:rPr>
                <w:sz w:val="26"/>
                <w:szCs w:val="26"/>
              </w:rPr>
              <w:t>Geographic Extent and  data scale</w:t>
            </w:r>
          </w:p>
        </w:tc>
        <w:tc>
          <w:tcPr>
            <w:tcW w:w="7830" w:type="dxa"/>
          </w:tcPr>
          <w:p w:rsidR="00D314F8" w:rsidRPr="00A61D1C" w:rsidRDefault="0066532C" w:rsidP="008944B0">
            <w:pPr>
              <w:rPr>
                <w:sz w:val="26"/>
                <w:szCs w:val="26"/>
              </w:rPr>
            </w:pPr>
            <w:r w:rsidRPr="00A61D1C">
              <w:rPr>
                <w:sz w:val="26"/>
                <w:szCs w:val="26"/>
              </w:rPr>
              <w:t>13-state U.S. region and the Maritime Provinces of Canada</w:t>
            </w:r>
          </w:p>
          <w:p w:rsidR="00535324" w:rsidRPr="00A61D1C" w:rsidRDefault="00535324" w:rsidP="008944B0">
            <w:pPr>
              <w:rPr>
                <w:sz w:val="26"/>
                <w:szCs w:val="26"/>
              </w:rPr>
            </w:pPr>
            <w:r w:rsidRPr="00A61D1C">
              <w:rPr>
                <w:sz w:val="26"/>
                <w:szCs w:val="26"/>
              </w:rPr>
              <w:t xml:space="preserve">1000-acre hexagon sites with 30 meter cell resolution base layer data </w:t>
            </w:r>
          </w:p>
          <w:p w:rsidR="0066532C" w:rsidRPr="00A61D1C" w:rsidRDefault="0066532C" w:rsidP="008944B0">
            <w:pPr>
              <w:rPr>
                <w:sz w:val="26"/>
                <w:szCs w:val="26"/>
              </w:rPr>
            </w:pPr>
          </w:p>
        </w:tc>
      </w:tr>
      <w:tr w:rsidR="00D314F8" w:rsidRPr="002D6E58" w:rsidTr="001343EC">
        <w:tc>
          <w:tcPr>
            <w:tcW w:w="1818" w:type="dxa"/>
          </w:tcPr>
          <w:p w:rsidR="00D314F8" w:rsidRPr="00A61D1C" w:rsidRDefault="00D314F8">
            <w:pPr>
              <w:rPr>
                <w:sz w:val="26"/>
                <w:szCs w:val="26"/>
              </w:rPr>
            </w:pPr>
            <w:r w:rsidRPr="00A61D1C">
              <w:rPr>
                <w:sz w:val="26"/>
                <w:szCs w:val="26"/>
              </w:rPr>
              <w:t>Developer</w:t>
            </w:r>
          </w:p>
        </w:tc>
        <w:tc>
          <w:tcPr>
            <w:tcW w:w="7830" w:type="dxa"/>
          </w:tcPr>
          <w:p w:rsidR="00D314F8" w:rsidRPr="00A61D1C" w:rsidRDefault="00ED0143" w:rsidP="00D45278">
            <w:pPr>
              <w:rPr>
                <w:sz w:val="26"/>
                <w:szCs w:val="26"/>
              </w:rPr>
            </w:pPr>
            <w:r w:rsidRPr="00A61D1C">
              <w:rPr>
                <w:sz w:val="26"/>
                <w:szCs w:val="26"/>
              </w:rPr>
              <w:t>The Nature Conservancy, Eas</w:t>
            </w:r>
            <w:r w:rsidR="0066532C" w:rsidRPr="00A61D1C">
              <w:rPr>
                <w:sz w:val="26"/>
                <w:szCs w:val="26"/>
              </w:rPr>
              <w:t>tern Conservation Science Office</w:t>
            </w:r>
          </w:p>
        </w:tc>
      </w:tr>
      <w:tr w:rsidR="00D314F8" w:rsidRPr="002D6E58" w:rsidTr="001343EC">
        <w:tc>
          <w:tcPr>
            <w:tcW w:w="1818" w:type="dxa"/>
          </w:tcPr>
          <w:p w:rsidR="00D314F8" w:rsidRPr="00A61D1C" w:rsidRDefault="00D314F8">
            <w:pPr>
              <w:rPr>
                <w:sz w:val="26"/>
                <w:szCs w:val="26"/>
              </w:rPr>
            </w:pPr>
            <w:r w:rsidRPr="00A61D1C">
              <w:rPr>
                <w:sz w:val="26"/>
                <w:szCs w:val="26"/>
              </w:rPr>
              <w:t>Contact</w:t>
            </w:r>
          </w:p>
        </w:tc>
        <w:tc>
          <w:tcPr>
            <w:tcW w:w="7830" w:type="dxa"/>
          </w:tcPr>
          <w:p w:rsidR="00D314F8" w:rsidRPr="00A61D1C" w:rsidRDefault="0066532C" w:rsidP="0066532C">
            <w:pPr>
              <w:rPr>
                <w:sz w:val="26"/>
                <w:szCs w:val="26"/>
              </w:rPr>
            </w:pPr>
            <w:r w:rsidRPr="00A61D1C">
              <w:rPr>
                <w:sz w:val="26"/>
                <w:szCs w:val="26"/>
              </w:rPr>
              <w:t xml:space="preserve">Mark Anderson and </w:t>
            </w:r>
            <w:r w:rsidRPr="00A61D1C">
              <w:rPr>
                <w:sz w:val="26"/>
                <w:szCs w:val="26"/>
              </w:rPr>
              <w:t>M</w:t>
            </w:r>
            <w:r w:rsidRPr="00A61D1C">
              <w:rPr>
                <w:sz w:val="26"/>
                <w:szCs w:val="26"/>
              </w:rPr>
              <w:t>elissa</w:t>
            </w:r>
            <w:r w:rsidRPr="00A61D1C">
              <w:rPr>
                <w:sz w:val="26"/>
                <w:szCs w:val="26"/>
              </w:rPr>
              <w:t xml:space="preserve"> Clark, and A</w:t>
            </w:r>
            <w:r w:rsidRPr="00A61D1C">
              <w:rPr>
                <w:sz w:val="26"/>
                <w:szCs w:val="26"/>
              </w:rPr>
              <w:t>rlene</w:t>
            </w:r>
            <w:r w:rsidRPr="00A61D1C">
              <w:rPr>
                <w:sz w:val="26"/>
                <w:szCs w:val="26"/>
              </w:rPr>
              <w:t xml:space="preserve"> </w:t>
            </w:r>
            <w:proofErr w:type="spellStart"/>
            <w:r w:rsidRPr="00A61D1C">
              <w:rPr>
                <w:sz w:val="26"/>
                <w:szCs w:val="26"/>
              </w:rPr>
              <w:t>Olivero</w:t>
            </w:r>
            <w:proofErr w:type="spellEnd"/>
            <w:r w:rsidRPr="00A61D1C">
              <w:rPr>
                <w:sz w:val="26"/>
                <w:szCs w:val="26"/>
              </w:rPr>
              <w:t xml:space="preserve"> Sheldon</w:t>
            </w:r>
          </w:p>
        </w:tc>
      </w:tr>
      <w:tr w:rsidR="00D314F8" w:rsidRPr="002D6E58" w:rsidTr="001343EC">
        <w:tc>
          <w:tcPr>
            <w:tcW w:w="1818" w:type="dxa"/>
          </w:tcPr>
          <w:p w:rsidR="00D314F8" w:rsidRPr="00A61D1C" w:rsidRDefault="00D314F8" w:rsidP="001343EC">
            <w:pPr>
              <w:rPr>
                <w:sz w:val="26"/>
                <w:szCs w:val="26"/>
              </w:rPr>
            </w:pPr>
            <w:r w:rsidRPr="00A61D1C">
              <w:rPr>
                <w:sz w:val="26"/>
                <w:szCs w:val="26"/>
              </w:rPr>
              <w:t xml:space="preserve">Completion </w:t>
            </w:r>
          </w:p>
        </w:tc>
        <w:tc>
          <w:tcPr>
            <w:tcW w:w="7830" w:type="dxa"/>
          </w:tcPr>
          <w:p w:rsidR="00D314F8" w:rsidRPr="00A61D1C" w:rsidRDefault="0066532C">
            <w:pPr>
              <w:rPr>
                <w:sz w:val="26"/>
                <w:szCs w:val="26"/>
              </w:rPr>
            </w:pPr>
            <w:r w:rsidRPr="00A61D1C">
              <w:rPr>
                <w:sz w:val="26"/>
                <w:szCs w:val="26"/>
              </w:rPr>
              <w:t>Report and data layers from 2012</w:t>
            </w:r>
          </w:p>
        </w:tc>
      </w:tr>
    </w:tbl>
    <w:p w:rsidR="00A61D1C" w:rsidRDefault="00A61D1C">
      <w:pPr>
        <w:rPr>
          <w:noProof/>
          <w:sz w:val="26"/>
          <w:szCs w:val="26"/>
        </w:rPr>
      </w:pPr>
    </w:p>
    <w:p w:rsidR="00A61D1C" w:rsidRDefault="00A61D1C">
      <w:pPr>
        <w:rPr>
          <w:noProof/>
          <w:sz w:val="26"/>
          <w:szCs w:val="26"/>
        </w:rPr>
      </w:pPr>
      <w:r>
        <w:rPr>
          <w:noProof/>
          <w:sz w:val="26"/>
          <w:szCs w:val="26"/>
        </w:rPr>
        <w:br w:type="page"/>
      </w:r>
    </w:p>
    <w:p w:rsidR="00A61D1C" w:rsidRDefault="00A125D5" w:rsidP="00C06D1F">
      <w:pPr>
        <w:ind w:left="3960"/>
        <w:rPr>
          <w:noProof/>
          <w:sz w:val="26"/>
          <w:szCs w:val="26"/>
        </w:rPr>
      </w:pPr>
      <w:r w:rsidRPr="00A61D1C">
        <w:rPr>
          <w:noProof/>
          <w:sz w:val="26"/>
          <w:szCs w:val="26"/>
        </w:rPr>
        <w:lastRenderedPageBreak/>
        <mc:AlternateContent>
          <mc:Choice Requires="wps">
            <w:drawing>
              <wp:anchor distT="0" distB="0" distL="114300" distR="114300" simplePos="0" relativeHeight="251663360" behindDoc="0" locked="0" layoutInCell="1" allowOverlap="1" wp14:anchorId="0341CF80" wp14:editId="0EC2192D">
                <wp:simplePos x="0" y="0"/>
                <wp:positionH relativeFrom="column">
                  <wp:posOffset>-664845</wp:posOffset>
                </wp:positionH>
                <wp:positionV relativeFrom="paragraph">
                  <wp:posOffset>4490720</wp:posOffset>
                </wp:positionV>
                <wp:extent cx="1254760" cy="645795"/>
                <wp:effectExtent l="0" t="0" r="2540" b="0"/>
                <wp:wrapNone/>
                <wp:docPr id="11" name="TextBox 10"/>
                <wp:cNvGraphicFramePr/>
                <a:graphic xmlns:a="http://schemas.openxmlformats.org/drawingml/2006/main">
                  <a:graphicData uri="http://schemas.microsoft.com/office/word/2010/wordprocessingShape">
                    <wps:wsp>
                      <wps:cNvSpPr txBox="1"/>
                      <wps:spPr>
                        <a:xfrm>
                          <a:off x="0" y="0"/>
                          <a:ext cx="1254760" cy="645795"/>
                        </a:xfrm>
                        <a:prstGeom prst="rect">
                          <a:avLst/>
                        </a:prstGeom>
                        <a:solidFill>
                          <a:schemeClr val="bg2"/>
                        </a:solidFill>
                        <a:effectLst>
                          <a:softEdge rad="63500"/>
                        </a:effectLst>
                      </wps:spPr>
                      <wps:txbx>
                        <w:txbxContent>
                          <w:p w:rsidR="00A61D1C" w:rsidRDefault="00A61D1C" w:rsidP="00A61D1C">
                            <w:pPr>
                              <w:pStyle w:val="NormalWeb"/>
                              <w:spacing w:before="0" w:beforeAutospacing="0" w:after="0" w:afterAutospacing="0"/>
                            </w:pPr>
                            <w:r>
                              <w:rPr>
                                <w:rFonts w:ascii="Georgia" w:hAnsi="Georgia" w:cstheme="minorBidi"/>
                                <w:color w:val="006600"/>
                                <w:kern w:val="24"/>
                                <w:sz w:val="36"/>
                                <w:szCs w:val="36"/>
                              </w:rPr>
                              <w:t>TNC Resiliency</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6" type="#_x0000_t202" style="position:absolute;left:0;text-align:left;margin-left:-52.35pt;margin-top:353.6pt;width:98.8pt;height:5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" fillcolor="#eeece1 [3214]" stroked="f">
                <v:textbox style="mso-fit-shape-to-text:t">
                  <w:txbxContent>
                    <w:p w:rsidR="00A61D1C" w:rsidRDefault="00A61D1C" w:rsidP="00A61D1C">
                      <w:pPr>
                        <w:pStyle w:val="NormalWeb"/>
                        <w:spacing w:before="0" w:beforeAutospacing="0" w:after="0" w:afterAutospacing="0"/>
                      </w:pPr>
                      <w:r>
                        <w:rPr>
                          <w:rFonts w:ascii="Georgia" w:hAnsi="Georgia" w:cstheme="minorBidi"/>
                          <w:color w:val="006600"/>
                          <w:kern w:val="24"/>
                          <w:sz w:val="36"/>
                          <w:szCs w:val="36"/>
                        </w:rPr>
                        <w:t>TNC Resiliency</w:t>
                      </w:r>
                    </w:p>
                  </w:txbxContent>
                </v:textbox>
              </v:shape>
            </w:pict>
          </mc:Fallback>
        </mc:AlternateContent>
      </w:r>
      <w:r w:rsidR="00A61D1C" w:rsidRPr="00A61D1C">
        <w:rPr>
          <w:noProof/>
          <w:sz w:val="26"/>
          <w:szCs w:val="26"/>
        </w:rPr>
        <w:drawing>
          <wp:anchor distT="0" distB="0" distL="114300" distR="114300" simplePos="0" relativeHeight="251662336" behindDoc="0" locked="0" layoutInCell="1" allowOverlap="1" wp14:anchorId="56F9473D" wp14:editId="342ECB8C">
            <wp:simplePos x="0" y="0"/>
            <wp:positionH relativeFrom="column">
              <wp:posOffset>-762000</wp:posOffset>
            </wp:positionH>
            <wp:positionV relativeFrom="paragraph">
              <wp:posOffset>4413885</wp:posOffset>
            </wp:positionV>
            <wp:extent cx="3209925" cy="4153535"/>
            <wp:effectExtent l="0" t="0" r="9525" b="0"/>
            <wp:wrapNone/>
            <wp:docPr id="12" name="Picture 11" descr="tnc.resiliency.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nc.resiliency.ner.jpg"/>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3209925" cy="4153535"/>
                    </a:xfrm>
                    <a:prstGeom prst="rect">
                      <a:avLst/>
                    </a:prstGeom>
                  </pic:spPr>
                </pic:pic>
              </a:graphicData>
            </a:graphic>
            <wp14:sizeRelH relativeFrom="margin">
              <wp14:pctWidth>0</wp14:pctWidth>
            </wp14:sizeRelH>
            <wp14:sizeRelV relativeFrom="margin">
              <wp14:pctHeight>0</wp14:pctHeight>
            </wp14:sizeRelV>
          </wp:anchor>
        </w:drawing>
      </w:r>
      <w:r w:rsidR="00A61D1C">
        <w:rPr>
          <w:noProof/>
          <w:sz w:val="26"/>
          <w:szCs w:val="26"/>
        </w:rPr>
        <w:drawing>
          <wp:inline distT="0" distB="0" distL="0" distR="0" wp14:anchorId="02439247" wp14:editId="754F6E27">
            <wp:extent cx="3867150" cy="5779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772" cy="5780219"/>
                    </a:xfrm>
                    <a:prstGeom prst="rect">
                      <a:avLst/>
                    </a:prstGeom>
                    <a:noFill/>
                    <a:ln>
                      <a:noFill/>
                    </a:ln>
                  </pic:spPr>
                </pic:pic>
              </a:graphicData>
            </a:graphic>
          </wp:inline>
        </w:drawing>
      </w:r>
    </w:p>
    <w:p w:rsidR="00A61D1C" w:rsidRDefault="00A61D1C">
      <w:pPr>
        <w:rPr>
          <w:noProof/>
          <w:sz w:val="26"/>
          <w:szCs w:val="26"/>
        </w:rPr>
      </w:pPr>
    </w:p>
    <w:p w:rsidR="00E54D6F" w:rsidRDefault="00E54D6F">
      <w:pPr>
        <w:rPr>
          <w:noProof/>
          <w:sz w:val="26"/>
          <w:szCs w:val="26"/>
        </w:rPr>
      </w:pPr>
    </w:p>
    <w:sectPr w:rsidR="00E54D6F" w:rsidSect="00421FC3">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007"/>
    <w:multiLevelType w:val="multilevel"/>
    <w:tmpl w:val="0D1E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DE0011"/>
    <w:multiLevelType w:val="hybridMultilevel"/>
    <w:tmpl w:val="719E39D0"/>
    <w:lvl w:ilvl="0" w:tplc="EC1A265E">
      <w:start w:val="2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A2787B"/>
    <w:multiLevelType w:val="multilevel"/>
    <w:tmpl w:val="A4BC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F53A70"/>
    <w:multiLevelType w:val="multilevel"/>
    <w:tmpl w:val="31BA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031"/>
    <w:rsid w:val="0001022A"/>
    <w:rsid w:val="000C4872"/>
    <w:rsid w:val="000C6637"/>
    <w:rsid w:val="000F11C6"/>
    <w:rsid w:val="001343EC"/>
    <w:rsid w:val="001A5869"/>
    <w:rsid w:val="002568B9"/>
    <w:rsid w:val="002C0469"/>
    <w:rsid w:val="002D6E58"/>
    <w:rsid w:val="002E445A"/>
    <w:rsid w:val="00311013"/>
    <w:rsid w:val="0036104E"/>
    <w:rsid w:val="00392CA6"/>
    <w:rsid w:val="003C4A61"/>
    <w:rsid w:val="00421FC3"/>
    <w:rsid w:val="004A5255"/>
    <w:rsid w:val="004B54EF"/>
    <w:rsid w:val="004F152F"/>
    <w:rsid w:val="00535324"/>
    <w:rsid w:val="00565123"/>
    <w:rsid w:val="00596631"/>
    <w:rsid w:val="005F22FF"/>
    <w:rsid w:val="00652162"/>
    <w:rsid w:val="0066532C"/>
    <w:rsid w:val="006B5437"/>
    <w:rsid w:val="0073182D"/>
    <w:rsid w:val="00756225"/>
    <w:rsid w:val="00771E9F"/>
    <w:rsid w:val="00782AF9"/>
    <w:rsid w:val="007B5BF7"/>
    <w:rsid w:val="007D5B3F"/>
    <w:rsid w:val="00817909"/>
    <w:rsid w:val="00845940"/>
    <w:rsid w:val="008722A9"/>
    <w:rsid w:val="008944B0"/>
    <w:rsid w:val="009A2015"/>
    <w:rsid w:val="009D7031"/>
    <w:rsid w:val="00A125D5"/>
    <w:rsid w:val="00A5551A"/>
    <w:rsid w:val="00A61D1C"/>
    <w:rsid w:val="00C06D1F"/>
    <w:rsid w:val="00C24323"/>
    <w:rsid w:val="00C34C98"/>
    <w:rsid w:val="00C71936"/>
    <w:rsid w:val="00C80ED4"/>
    <w:rsid w:val="00CD4161"/>
    <w:rsid w:val="00CE49FC"/>
    <w:rsid w:val="00D1399D"/>
    <w:rsid w:val="00D314F8"/>
    <w:rsid w:val="00D45278"/>
    <w:rsid w:val="00E15193"/>
    <w:rsid w:val="00E2167B"/>
    <w:rsid w:val="00E45D5C"/>
    <w:rsid w:val="00E54D6F"/>
    <w:rsid w:val="00EB208E"/>
    <w:rsid w:val="00ED0143"/>
    <w:rsid w:val="00F0659A"/>
    <w:rsid w:val="00F32070"/>
    <w:rsid w:val="00F36DF9"/>
    <w:rsid w:val="00F50240"/>
    <w:rsid w:val="00F65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D7031"/>
    <w:rPr>
      <w:color w:val="0000FF"/>
      <w:u w:val="single"/>
    </w:rPr>
  </w:style>
  <w:style w:type="table" w:styleId="TableGrid">
    <w:name w:val="Table Grid"/>
    <w:basedOn w:val="TableNormal"/>
    <w:uiPriority w:val="59"/>
    <w:rsid w:val="009D7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469"/>
    <w:rPr>
      <w:rFonts w:ascii="Tahoma" w:hAnsi="Tahoma" w:cs="Tahoma"/>
      <w:sz w:val="16"/>
      <w:szCs w:val="16"/>
    </w:rPr>
  </w:style>
  <w:style w:type="paragraph" w:styleId="ListParagraph">
    <w:name w:val="List Paragraph"/>
    <w:basedOn w:val="Normal"/>
    <w:uiPriority w:val="34"/>
    <w:qFormat/>
    <w:rsid w:val="007B5BF7"/>
    <w:pPr>
      <w:ind w:left="720"/>
      <w:contextualSpacing/>
    </w:pPr>
  </w:style>
  <w:style w:type="paragraph" w:styleId="NormalWeb">
    <w:name w:val="Normal (Web)"/>
    <w:basedOn w:val="Normal"/>
    <w:uiPriority w:val="99"/>
    <w:semiHidden/>
    <w:unhideWhenUsed/>
    <w:rsid w:val="00A61D1C"/>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D7031"/>
    <w:rPr>
      <w:color w:val="0000FF"/>
      <w:u w:val="single"/>
    </w:rPr>
  </w:style>
  <w:style w:type="table" w:styleId="TableGrid">
    <w:name w:val="Table Grid"/>
    <w:basedOn w:val="TableNormal"/>
    <w:uiPriority w:val="59"/>
    <w:rsid w:val="009D7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469"/>
    <w:rPr>
      <w:rFonts w:ascii="Tahoma" w:hAnsi="Tahoma" w:cs="Tahoma"/>
      <w:sz w:val="16"/>
      <w:szCs w:val="16"/>
    </w:rPr>
  </w:style>
  <w:style w:type="paragraph" w:styleId="ListParagraph">
    <w:name w:val="List Paragraph"/>
    <w:basedOn w:val="Normal"/>
    <w:uiPriority w:val="34"/>
    <w:qFormat/>
    <w:rsid w:val="007B5BF7"/>
    <w:pPr>
      <w:ind w:left="720"/>
      <w:contextualSpacing/>
    </w:pPr>
  </w:style>
  <w:style w:type="paragraph" w:styleId="NormalWeb">
    <w:name w:val="Normal (Web)"/>
    <w:basedOn w:val="Normal"/>
    <w:uiPriority w:val="99"/>
    <w:semiHidden/>
    <w:unhideWhenUsed/>
    <w:rsid w:val="00A61D1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66519">
      <w:bodyDiv w:val="1"/>
      <w:marLeft w:val="0"/>
      <w:marRight w:val="0"/>
      <w:marTop w:val="0"/>
      <w:marBottom w:val="0"/>
      <w:divBdr>
        <w:top w:val="none" w:sz="0" w:space="0" w:color="auto"/>
        <w:left w:val="none" w:sz="0" w:space="0" w:color="auto"/>
        <w:bottom w:val="none" w:sz="0" w:space="0" w:color="auto"/>
        <w:right w:val="none" w:sz="0" w:space="0" w:color="auto"/>
      </w:divBdr>
      <w:divsChild>
        <w:div w:id="436409540">
          <w:marLeft w:val="0"/>
          <w:marRight w:val="0"/>
          <w:marTop w:val="0"/>
          <w:marBottom w:val="0"/>
          <w:divBdr>
            <w:top w:val="none" w:sz="0" w:space="0" w:color="auto"/>
            <w:left w:val="none" w:sz="0" w:space="0" w:color="auto"/>
            <w:bottom w:val="none" w:sz="0" w:space="0" w:color="auto"/>
            <w:right w:val="none" w:sz="0" w:space="0" w:color="auto"/>
          </w:divBdr>
          <w:divsChild>
            <w:div w:id="1633291142">
              <w:marLeft w:val="0"/>
              <w:marRight w:val="0"/>
              <w:marTop w:val="0"/>
              <w:marBottom w:val="0"/>
              <w:divBdr>
                <w:top w:val="none" w:sz="0" w:space="0" w:color="auto"/>
                <w:left w:val="none" w:sz="0" w:space="0" w:color="auto"/>
                <w:bottom w:val="none" w:sz="0" w:space="0" w:color="auto"/>
                <w:right w:val="none" w:sz="0" w:space="0" w:color="auto"/>
              </w:divBdr>
              <w:divsChild>
                <w:div w:id="1422988168">
                  <w:marLeft w:val="0"/>
                  <w:marRight w:val="0"/>
                  <w:marTop w:val="0"/>
                  <w:marBottom w:val="0"/>
                  <w:divBdr>
                    <w:top w:val="none" w:sz="0" w:space="0" w:color="auto"/>
                    <w:left w:val="none" w:sz="0" w:space="0" w:color="auto"/>
                    <w:bottom w:val="none" w:sz="0" w:space="0" w:color="auto"/>
                    <w:right w:val="none" w:sz="0" w:space="0" w:color="auto"/>
                  </w:divBdr>
                  <w:divsChild>
                    <w:div w:id="1484469390">
                      <w:marLeft w:val="0"/>
                      <w:marRight w:val="0"/>
                      <w:marTop w:val="0"/>
                      <w:marBottom w:val="0"/>
                      <w:divBdr>
                        <w:top w:val="none" w:sz="0" w:space="0" w:color="auto"/>
                        <w:left w:val="none" w:sz="0" w:space="0" w:color="auto"/>
                        <w:bottom w:val="none" w:sz="0" w:space="0" w:color="auto"/>
                        <w:right w:val="none" w:sz="0" w:space="0" w:color="auto"/>
                      </w:divBdr>
                      <w:divsChild>
                        <w:div w:id="1904754955">
                          <w:marLeft w:val="0"/>
                          <w:marRight w:val="0"/>
                          <w:marTop w:val="0"/>
                          <w:marBottom w:val="0"/>
                          <w:divBdr>
                            <w:top w:val="none" w:sz="0" w:space="0" w:color="auto"/>
                            <w:left w:val="none" w:sz="0" w:space="0" w:color="auto"/>
                            <w:bottom w:val="none" w:sz="0" w:space="0" w:color="auto"/>
                            <w:right w:val="none" w:sz="0" w:space="0" w:color="auto"/>
                          </w:divBdr>
                          <w:divsChild>
                            <w:div w:id="865025291">
                              <w:marLeft w:val="0"/>
                              <w:marRight w:val="0"/>
                              <w:marTop w:val="0"/>
                              <w:marBottom w:val="0"/>
                              <w:divBdr>
                                <w:top w:val="none" w:sz="0" w:space="0" w:color="auto"/>
                                <w:left w:val="none" w:sz="0" w:space="0" w:color="auto"/>
                                <w:bottom w:val="none" w:sz="0" w:space="0" w:color="auto"/>
                                <w:right w:val="none" w:sz="0" w:space="0" w:color="auto"/>
                              </w:divBdr>
                              <w:divsChild>
                                <w:div w:id="60253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7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Mac</dc:creator>
  <cp:lastModifiedBy>Milliken, Andrew</cp:lastModifiedBy>
  <cp:revision>8</cp:revision>
  <cp:lastPrinted>2014-03-27T20:38:00Z</cp:lastPrinted>
  <dcterms:created xsi:type="dcterms:W3CDTF">2014-03-27T19:53:00Z</dcterms:created>
  <dcterms:modified xsi:type="dcterms:W3CDTF">2014-03-27T20:41:00Z</dcterms:modified>
</cp:coreProperties>
</file>